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090208f90ea34254"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14339</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Osnovna škola VUKOVINA</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2.932.153,72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3.225.932,32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2.885.007,23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3.241.572,68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15.640,36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58.576,02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53.016,80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58.575,63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53.016,80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90,5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11.429,14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68.657,16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600,7</w:t>
            </w:r>
          </w:p>
        </w:tc>
      </w:tr>
    </w:tbl>
    <w:p>
      <w:pPr>
        <w:spacing w:before="0" w:after="0"/>
      </w:pPr>
    </w:p>
    <w:p>
      <w:r>
        <w:t xml:space="preserve">U razdoblju od 1. siječnja do 31.prosinca 2025. prihodi poslovanja ostvareni su u iznosu 3.225.932,32eur. Najznačajnije povećanje prihoda poslovanja ostvareno je od tekućih pomoći proračunskim korisnicima iz proračuna koji im nije nadležan te prihodi iz nadležnog proračuna za financiranje redovne djelatnosti proračunskih korisnika, kao i prihoda od upravnih i administrativnih pristojbi. Najznačajnije smanjenje prihoda poslovanja bilježi se na donacijama od pravnih i fizičkih osoba izvan općeg proračuna kao i pomoći temeljem prijenosa EU sredstava. U razdoblju od 1. siječnja do 31.prosinca 2025. rashodi poslovanja ostvareni su u iznosu 3.241.572,68eur. Najznačajnije povećanje rashoda poslovanja ostvareno je od plaća za prekovremeni rad, naknada troškova zaposlenima, stručnog usavršavanja zaposlenika, rashoda za službenu, radnu i zaštitnu odjeću i obuću, materijala za tekuće i investicijsko ulaganje, sitnog inventara, usluga tekućeg i investicijskog ulaganja, intelektualne i osobne usluge te ostalih nespomenutih rashoda poslovanja. Najznačajnije smanjenje rashoda poslovanja bilježi se na ostalim uslugama i ostalim rashodima za zaposlene.  </w:t>
      </w:r>
    </w:p>
    <w:p>
      <w:r>
        <w:t xml:space="preserve">U tom istom razdoblju nema ostvarenih prihoda od prodaje nefinancijske imovine. Rashodi za nabavu nefinancijske imovine, u tom razdoblju, ostvareni su u iznosu 53.016,80eur. Najznačajnije povećanje tog rashoda odnosi se na rashod za uredsku opremu i namještaj, dok je smanjenje zbog manjih rashoda za uređaje, strojeve i opremu za ostalu namjenu. </w:t>
      </w:r>
    </w:p>
    <w:p>
      <w:r>
        <w:t xml:space="preserve">U razdoblju od 1.siječnja do 31.prosinca 2025. ostvaren je manjak prihoda poslovanja u iznosu 15.640,36eur, manjak prihoda od nefinancijske imovine u iznosu 53.016,80eur, slijedom čega je na kraju izvještajnog razdoblja ostvaren ukupan manjak prihoda i primitaka u iznosu od 68.657,16eur.</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temeljem prijenosa EU sredstava (šifre 6381+6382)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4.539,45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3.591,31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79,1</w:t>
            </w:r>
          </w:p>
        </w:tc>
      </w:tr>
    </w:tbl>
    <w:p>
      <w:pPr>
        <w:spacing w:before="0" w:after="0"/>
      </w:pPr>
    </w:p>
    <w:p>
      <w:r>
        <w:t xml:space="preserve">Prihodi od pomoći temeljem prijenosa EU sredstava bilježe pad u odnosu na prethodno razdoblje zbog pada prihoda u okviru projekta Školska shema voća i povrća te mlijeka i mliječnih proizvoda i novog načina knjiženja poslovnih događaja od rujna 2025. godine.</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upravnih i administrativnih pristojbi, pristojbi po posebnim propisima i naknada (šifre 651+652+653+654)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9.386,16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11.744,46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125,1</w:t>
            </w:r>
          </w:p>
        </w:tc>
      </w:tr>
    </w:tbl>
    <w:p>
      <w:pPr>
        <w:spacing w:before="0" w:after="0"/>
      </w:pPr>
    </w:p>
    <w:p>
      <w:r>
        <w:t xml:space="preserve">Sastavni dio ove šifre je račun 65264 Sufinanciranje cijene usluge, participacije i slično pa na šiframa 65, 652 i 6526 imamo povećanje u odnosu na 2024. godinu iz razloga što se ovdje nalazi prihod za sufinanciranje cijene prehrane učenika u produženom boravku, a od školske godine 2025.godine imamo upisane učenike u dva razreda produženog boravka, dok je dosad bio samo jedan razred.</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i od HZZO-a na temelju ugovornih obveza (šifre 671+673)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608.531,51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746.919,56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122,7</w:t>
            </w:r>
          </w:p>
        </w:tc>
      </w:tr>
    </w:tbl>
    <w:p>
      <w:pPr>
        <w:spacing w:before="0" w:after="0"/>
      </w:pPr>
    </w:p>
    <w:p>
      <w:r>
        <w:t xml:space="preserve">Prihodi iz nadležnog proračuna i od HZZO-a na temelju ugovornih obveza bilježe povećanje od 22,7% u  odnosu na prethodno razdoblje zbog priznavanja prihoda u trenutku plaćanja roba, radova i usluga. Računi 671 te 6711 imaju povećanje upravo iz razloga što je u periodu 1.siječnja do 31.prosinca 2025.godine podmiren veći iznos rashoda iz nadležnog proračuna.</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prekovremeni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47.441,30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78.553,44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165,6</w:t>
            </w:r>
          </w:p>
        </w:tc>
      </w:tr>
    </w:tbl>
    <w:p>
      <w:pPr>
        <w:spacing w:before="0" w:after="0"/>
      </w:pPr>
    </w:p>
    <w:p>
      <w:r>
        <w:t xml:space="preserve">Rashodi za plaće za prekovremeni rad bilježe povećanje od 65,6% u odnosu na prethodno razdoblje zbog rasta plaća te potreba za redovnim zamjenama za one djelatnike koji su opravdano odsutni.</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Stručno usavršavanje zaposlenika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4.491,80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431,9</w:t>
            </w:r>
          </w:p>
        </w:tc>
      </w:tr>
    </w:tbl>
    <w:p>
      <w:pPr>
        <w:spacing w:before="0" w:after="0"/>
      </w:pPr>
    </w:p>
    <w:p>
      <w:r>
        <w:t xml:space="preserve">Rashodi za stručno usavršavanje zaposlenika bilježe povećanje od 331,9% u odnosu na prethodno razdoblje zbog povećanja broja djelatnika upućenih na stručno usavršavanje.</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dijelovi za tekuće i investicijsko održavanje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29.588,63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41.890,86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141,6</w:t>
            </w:r>
          </w:p>
        </w:tc>
      </w:tr>
    </w:tbl>
    <w:p>
      <w:pPr>
        <w:spacing w:before="0" w:after="0"/>
      </w:pPr>
    </w:p>
    <w:p>
      <w:r>
        <w:t xml:space="preserve">Rashodi za materijal i dijelove za tekuće i investicijsko održavanje bilježe povećanje od 41,6% u odnosu na prethodno razdoblje zbog rasta cijena energenata i materijala za tekuće i investicijsko održavanje.</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10.141,75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17.338,76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171,0</w:t>
            </w:r>
          </w:p>
        </w:tc>
      </w:tr>
    </w:tbl>
    <w:p>
      <w:pPr>
        <w:spacing w:before="0" w:after="0"/>
      </w:pPr>
    </w:p>
    <w:p>
      <w:r>
        <w:t xml:space="preserve">Rashodi za sitni inventar i autogume bilježe povećanje od 71,0% u odnosu na prethodno razdoblje zbog nabave više sitnog inventara sukladno potrebama djelatnika Škole, a sve u svrhu redovnog poslovanja i održavanja nastavnog procesa.</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radna i zaštitna odjeća i obuća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1.168,43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1.674,16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143,3</w:t>
            </w:r>
          </w:p>
        </w:tc>
      </w:tr>
    </w:tbl>
    <w:p>
      <w:pPr>
        <w:spacing w:before="0" w:after="0"/>
      </w:pPr>
    </w:p>
    <w:p>
      <w:r>
        <w:t xml:space="preserve">Rashodi za službenu, radnu i zaštitnu odjeću i obuću bilježe povećanje od 43,3% u odnosu na prethodno razdoblje zbog rasta cijena te nabave službene odjeće i obuće za sve kuhare i spremačice u matičnoj i područnim školama, kao i domare.</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22.998,90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39.597,10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172,2</w:t>
            </w:r>
          </w:p>
        </w:tc>
      </w:tr>
    </w:tbl>
    <w:p>
      <w:pPr>
        <w:spacing w:before="0" w:after="0"/>
      </w:pPr>
    </w:p>
    <w:p>
      <w:r>
        <w:t xml:space="preserve">Rashodi za usluge tekućeg i investicijskog održavanja bilježe povećanje od 72,2% u odnosu na prethodno razdoblje zbog rasta cijena svih usluga tekućeg i investicijskog održavanja.</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Intelektualne i osobne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757,00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6.446,72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851,6</w:t>
            </w:r>
          </w:p>
        </w:tc>
      </w:tr>
    </w:tbl>
    <w:p>
      <w:pPr>
        <w:spacing w:before="0" w:after="0"/>
      </w:pPr>
    </w:p>
    <w:p>
      <w:r>
        <w:t xml:space="preserve">Rashodi za intelektualne i osobne usluge bilježe povećanje od 751,6% u odnosu na prethodno razdoblje zbog potrebe za izradom procjene postojećeg stanja sigurnosti i analiza rizika za matičnu i područne škole kao i plaćanje usluga intervencije kriznog tima zbog smrtnog slučaja učenika Škole.</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Računalne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410,13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594,49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145,0</w:t>
            </w:r>
          </w:p>
        </w:tc>
      </w:tr>
    </w:tbl>
    <w:p>
      <w:pPr>
        <w:spacing w:before="0" w:after="0"/>
      </w:pPr>
    </w:p>
    <w:p>
      <w:r>
        <w:t xml:space="preserve">Rashodi za računalne usluge bilježe povećanje od 45% u odnosu na prethodno razdoblje zbog potreba podešavanja svih certifikata, odobrenja te potpisnih rješenja za novoizabranu Ravnateljicu Škole.</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(šifre 3291 do 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17.786,38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27.083,64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152,3</w:t>
            </w:r>
          </w:p>
        </w:tc>
      </w:tr>
    </w:tbl>
    <w:p>
      <w:pPr>
        <w:spacing w:before="0" w:after="0"/>
      </w:pPr>
    </w:p>
    <w:p>
      <w:r>
        <w:t xml:space="preserve">Rashodi za ostale nespomenute rashode poslovanja u okviru šifre 329 i 3299 bilježe povećanje od 52,3% u odnosu na prethodno razdoblje zbog odrađenih zemljanih radova (vađenje panjeva i doprema zemlje) kao i povećanja cijena premija osiguranja imovine i autoodgovornosti.</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Financijski rashodi (šifre 341+342+343)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306,8</w:t>
            </w:r>
          </w:p>
        </w:tc>
      </w:tr>
    </w:tbl>
    <w:p>
      <w:pPr>
        <w:spacing w:before="0" w:after="0"/>
      </w:pPr>
    </w:p>
    <w:p>
      <w:r>
        <w:t xml:space="preserve">Financijski rashodi u okviru šifri 34, 343 i 3433 bilježe povećanje od 206,8% u odnosu na prethodno razdoblje zbog naplaćenih kamata iz poslovnih odnosa.</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proizvedene dugotrajne imovine (šifre 421+422+423+424+425+426)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36.966,02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28.601,94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77,4</w:t>
            </w:r>
          </w:p>
        </w:tc>
      </w:tr>
    </w:tbl>
    <w:p>
      <w:pPr>
        <w:spacing w:before="0" w:after="0"/>
      </w:pPr>
    </w:p>
    <w:p>
      <w:r>
        <w:t xml:space="preserve">Rashodi za nabavu proizvedene dugotrajne imovine bilježe pad od 22,6% u odnosu na prethodno razdoblje zbog manje nabavljenih višegodišnjih udžbenika za učenike Škole.</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Uredska oprema i namještaj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7.861,14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16.126,50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205,1</w:t>
            </w:r>
          </w:p>
        </w:tc>
      </w:tr>
    </w:tbl>
    <w:p>
      <w:pPr>
        <w:spacing w:before="0" w:after="0"/>
      </w:pPr>
    </w:p>
    <w:p>
      <w:r>
        <w:t xml:space="preserve">Rashodi za nabavu uredske opreme i namještaja bilježe povećanje od 105,1% u odnosu na prethodno razdoblje zbog zamjene većeg broja učeničkih klupa i stolaca koje su bile dotrajale.</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Uređaji, strojevi i oprema za ostale namjene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4.084,98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2.500,88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61,2</w:t>
            </w:r>
          </w:p>
        </w:tc>
      </w:tr>
    </w:tbl>
    <w:p>
      <w:pPr>
        <w:spacing w:before="0" w:after="0"/>
      </w:pPr>
    </w:p>
    <w:p>
      <w:r>
        <w:t xml:space="preserve">Rashodi za nabavu uređaja, strojeva i opreme za ostale namjene bilježe smanjenje od 38,8% u odnosu na prethodno razdoblje zbog toga što je u višegodišnjem planu upravljanjem zgradama u 2024.godini nabavljeno i zamijenjeno dotrajalih uređaja i strojeva, dok u 2025. godini je nabavljen i zamijenjen dotrajali namještaj.</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Knjige, umjetnička djela i ostale izložbene vrijednosti (šifre 4241 do 4244)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18.012,44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9.217,22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51,2</w:t>
            </w:r>
          </w:p>
        </w:tc>
      </w:tr>
    </w:tbl>
    <w:p>
      <w:pPr>
        <w:spacing w:before="0" w:after="0"/>
      </w:pPr>
    </w:p>
    <w:p>
      <w:r>
        <w:t xml:space="preserve">Rashodi za knjige, umjetnička djela i ostale izložbene vrijednosti bilježe pad od 48,8% u odnosu na prethodno razdoblje zbog manje nabavljenih višegodišnjih udžbenika za učenike Škole.</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UKUPAN MANJAK PRIHODA (šifre Y034-X067)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11.429,14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68.657,16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600,7</w:t>
            </w:r>
          </w:p>
        </w:tc>
      </w:tr>
    </w:tbl>
    <w:p>
      <w:pPr>
        <w:spacing w:before="0" w:after="0"/>
      </w:pPr>
    </w:p>
    <w:p>
      <w:r>
        <w:t xml:space="preserve">Ukupan manjak prihoda bilježi značajno povećanje u ovom razdoblju u odnosu na prethodno razdoblje, a sve zbog promjena u knjiženjima, a sukladno uputi u Okružnici o predaji i konsolidaciji financijskih izvještaja proračuna, proračunskih i izvanproračunskih korisnika državnog proračuna te proračunskih i izvanproračunskih korisnika proračuna jedinica lokalne i područne (regionalne) samouprave za razdoblje 01.01. do 31.12.2015. i on iznosi 68.657,16eur, a on je rezultat sučeljavanja ukupnih prihoda i rashoda tekuće godine.</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za pokriće u sljedećem razdoblju (šifre Y005 + '9222-9221' - X005 - '9221-9222'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84.461,77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153.118,93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181,3</w:t>
            </w:r>
          </w:p>
        </w:tc>
      </w:tr>
    </w:tbl>
    <w:p>
      <w:pPr>
        <w:spacing w:before="0" w:after="0"/>
      </w:pPr>
    </w:p>
    <w:p>
      <w:r>
        <w:t xml:space="preserve">Zbog promjena u knjiženjima, a sukladno uputi u Okružnici o predaji i konsolidaciji financijskih izvještaja proračuna, proračunskih i izvanproračunskih korisnika državnog proračuna te proračunskih i izvanproračunskih korisnika proračuna jedinica lokalne i područne (regionalne) samouprave za razdoblje 01.01. do 31.12.2015. godine u 2025. godine imamo manjak prihoda i primitaka za pokriće u sljedećem razdoblju u iznosu 153.118,93eur.</w:t>
      </w:r>
    </w:p>
    <w:p>
      <w:r>
        <w:t xml:space="preserve">Taj iznos se sastoji od 84.461,77eur prenesenog manjka prihoda i primitaka te 68.657,16eur manjka prihoda i primitaka tekućeg razdoblja. </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11-dugov.</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Ukupni priljevi na novčane račune i blagajne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11-dugov.</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7.742,08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20,7</w:t>
            </w:r>
          </w:p>
        </w:tc>
      </w:tr>
    </w:tbl>
    <w:p>
      <w:pPr>
        <w:spacing w:before="0" w:after="0"/>
      </w:pPr>
    </w:p>
    <w:p>
      <w:r>
        <w:t xml:space="preserve">Ukupni priljevi i odljevi novčanih sredstava na kraju izvještajnog razdoblja bilježe smanjenje u odnosu na isto razdoblje prošle godine zbog manjih potreba za redovno poslovanje gotovinskim sredstvima.</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 u upotrebi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130.879,72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27.480,51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21,0</w:t>
            </w:r>
          </w:p>
        </w:tc>
      </w:tr>
    </w:tbl>
    <w:p>
      <w:pPr>
        <w:spacing w:before="0" w:after="0"/>
      </w:pPr>
    </w:p>
    <w:p>
      <w:r>
        <w:t xml:space="preserve">Do smanjenja na računima 042 i 049  Sitni inventar i autogume u upotrebi i ispravak vrijednosti sitnog inventara i autoguma u upotrebi došlo je zbog rashoda dotrajalog inventara koji je sukladno Odluci Ravnateljice otpisan i rashodovan.</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jamčevne pologe, od zaposlenih te za više plaćene poreze i ostalo (šifre 122 do 124 - 125 + 129)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617,22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896,09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145,2</w:t>
            </w:r>
          </w:p>
        </w:tc>
      </w:tr>
    </w:tbl>
    <w:p>
      <w:pPr>
        <w:spacing w:before="0" w:after="0"/>
      </w:pPr>
    </w:p>
    <w:p>
      <w:r>
        <w:t xml:space="preserve">U okviru šifri 12 i 129 iskazuju se potraživanja za jamčevne pologe, od zaposlenih te za više plaćene poreze i ostalo i na njemu je iskazano potraživanje za naknade koje se refundiraju:</w:t>
      </w:r>
    </w:p>
    <w:p>
      <w:pPr>
        <w:pStyle w:val="ListParagraph"/>
        <w:numPr>
          <w:ilvl w:val="0"/>
          <w:numId w:val="2"/>
        </w:numPr>
      </w:pPr>
      <w:r>
        <w:t xml:space="preserve">535,01eur - bolovanje na teret HZZO-a za djelatnike čije plaće se financiraju iz državnog proračuna</w:t>
      </w:r>
    </w:p>
    <w:p>
      <w:pPr>
        <w:pStyle w:val="ListParagraph"/>
        <w:numPr>
          <w:ilvl w:val="0"/>
          <w:numId w:val="2"/>
        </w:numPr>
      </w:pPr>
      <w:r>
        <w:t xml:space="preserve">36,42eur - potraživanja za refundaciju režijskih troškova</w:t>
      </w:r>
    </w:p>
    <w:p>
      <w:pPr>
        <w:pStyle w:val="ListParagraph"/>
        <w:numPr>
          <w:ilvl w:val="0"/>
          <w:numId w:val="2"/>
        </w:numPr>
      </w:pPr>
      <w:r>
        <w:t xml:space="preserve">324,66eur - ostala potraživanja- evidencijska aktivnost</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proračunskih korisnika za sredstva uplaćena u nadležni proračun i za prihode od HZZO-a na temelju ugovornih obveza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38.189,71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28.338,96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74,2</w:t>
            </w:r>
          </w:p>
        </w:tc>
      </w:tr>
    </w:tbl>
    <w:p>
      <w:pPr>
        <w:spacing w:before="0" w:after="0"/>
      </w:pPr>
    </w:p>
    <w:p>
      <w:r>
        <w:t xml:space="preserve">U okviru šifri 166 i 167 imamo rast na 166, a pad na 167 računima. U okviru 167 do pada je došlo zbog smanjenja potraživanja od roditelja za uplatu školske prehrane obzirom da je od 01.01.2024. prehrana za sve učenike besplatna u visini 1,33eur dnevno pa se prihod na 167 odnosi na cijenu prehrane samo za učenike korisnike produženog boravka. Do rasta u okviru 166 je došlo zbog  potraživanja za najam dvorane kao i otkupa starog papira.</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(šifre 23+24+25+26+27+29)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123.268,70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182.353,98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147,9</w:t>
            </w:r>
          </w:p>
        </w:tc>
      </w:tr>
    </w:tbl>
    <w:p>
      <w:pPr>
        <w:spacing w:before="0" w:after="0"/>
      </w:pPr>
    </w:p>
    <w:p>
      <w:r>
        <w:t xml:space="preserve">Podaci iskazani na 2 iznose 182.353,98eur i odnose se na: </w:t>
      </w:r>
    </w:p>
    <w:p>
      <w:r>
        <w:t xml:space="preserve">Obveze za bolovanje preko 42 dana: 535,01eur</w:t>
      </w:r>
      <w:r>
        <w:br/>
      </w:r>
      <w:r>
        <w:t xml:space="preserve">Obveze za zaposlene (pomoćnika u nastavi te učiteljica u produženom boravku):  23.362,51eur                     </w:t>
      </w:r>
      <w:r>
        <w:br/>
      </w:r>
      <w:r>
        <w:t xml:space="preserve">Obveze za materijalne rashode:  154.622,58eur </w:t>
      </w:r>
      <w:r>
        <w:br/>
      </w:r>
      <w:r>
        <w:t xml:space="preserve">Obveze za naplaćene tuđe prihode (evidencijska aktivnost): 324,66eur</w:t>
      </w:r>
      <w:r>
        <w:br/>
      </w:r>
      <w:r>
        <w:t xml:space="preserve">Obveze za obračunate ugovore o djelu kriznom timu: 3.509,22eur</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 (šifre 231 do 234 + 235 + 236 + 237 do 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121.694,45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172.074,86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141,4</w:t>
            </w:r>
          </w:p>
        </w:tc>
      </w:tr>
    </w:tbl>
    <w:p>
      <w:pPr>
        <w:spacing w:before="0" w:after="0"/>
      </w:pPr>
    </w:p>
    <w:p>
      <w:r>
        <w:t xml:space="preserve">U okviru šifri 23, 231, 232 i 237 bilježimo povećanje u odnosu na isti period prošle godine zbog troškova koji su pristigli do 31.prosinca 2025. godine, a koji nisu bili u valuti niti su podmireni do 31.prosinca.</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nabavu nefinancijske imovine (šifre 241 do 245)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9.419,45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852,4</w:t>
            </w:r>
          </w:p>
        </w:tc>
      </w:tr>
    </w:tbl>
    <w:p>
      <w:pPr>
        <w:spacing w:before="0" w:after="0"/>
      </w:pPr>
    </w:p>
    <w:p>
      <w:r>
        <w:t xml:space="preserve">U okviru šifri 24, 242 bilježimo povećanje u odnosu na isti period prošle godine zbog troškova koji su pristigli do 31.prosinca 2025. godine, a koji nisu bili u valuti niti su podmireni do 31.prosinca.</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Rezultat - višak/manjak (šifre 9221-9222)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-84.461,77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-153.118,93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181,3</w:t>
            </w:r>
          </w:p>
        </w:tc>
      </w:tr>
    </w:tbl>
    <w:p>
      <w:pPr>
        <w:spacing w:before="0" w:after="0"/>
      </w:pPr>
    </w:p>
    <w:p>
      <w:r>
        <w:t xml:space="preserve">31.prosinca 2025. izvršena je korekcija rezultata nakon obračuna tekućih prihoda i rashoda te prijenosa prihoda. U ovoj godini smo imali preneseni manjak prihoda poslovanja kojeg smo pokrili viškom prihoda poslovanja iz 2025. po izvorima financiranja. Dijelom viška prihoda poslovanja smo pokrili i dio manjka od nefinancijske imovine u iznosu od 44.655,95eur. Rezultat nakon svih završnih knjiženja nam iznosi na računu 922210 Manjak prihoda poslovanja 122.377,06eur dugovno, 922211 Preneseni manjak prihoda poslovanja PK 1.396,39eur dugovno te 922220 Manjak prihoda od nefinancijske imovine 29.345,48eur dugovno što u konačnici daje metodološki manjak za pokriće u sljedećem razdoblju u iznosu od 153.118,93eur. </w:t>
      </w:r>
    </w:p>
    <w:p>
      <w:r>
        <w:t xml:space="preserve">Negativni rezultat po izvoru financiranja 5.2. - Pomoći</w:t>
      </w:r>
    </w:p>
    <w:p>
      <w:r>
        <w:t xml:space="preserve">Negativni rezultat po IF 5.2. u periodu 01.01.-31.12.2025. je nastao zbog prenesenog manjka iz 2024. godine koji se pokrio prihodom od Ministarstva znanosti, obrazovanja i mladih u siječnju 2025. godine. Naime, MZOM uplaćuje prihod za namirnice za besplatnu prehranu učenika u mjesecu nakon, a računi za prehranu su pristigli i poslani su na plaćanje tokom prosinca. Prihod priznajemo u trenutnu kad je vidljiv na IBAN-u Riznice, a rashod se priznaje sa datumom ulaznog računa te se iz tog razloga dogodio i ovaj negativni rezultat u 2025. godini koji prenosimo u 2026. godinu.</w:t>
      </w:r>
    </w:p>
    <w:p>
      <w:r>
        <w:t xml:space="preserve"> </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Izvanbilančni zapisi - aktiva (šifra 996)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3.578,83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3.578,83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r>
        <w:t xml:space="preserve">Izvanbilančno se u knjigama OŠ Vukovina vodi oprema u iznosu 3.578,83€ dobivena od Carneta, a koja zasad nije prenesena u vlasnoštvo OŠ Vukovina.</w:t>
      </w:r>
    </w:p>
    <w:p>
      <w:r>
        <w:t xml:space="preserve">Sva ta oprema dana je OŠ Vukovina na korištenje, a dio opreme koji se do 2024. godine vodio vanbilančno već je u vlasništvu OŠ Vukovina. Manji dio opreme još se vodi vanbilančno te se očekuje u sljedećem razdoblju da će biti preneseno u vlasnoštvo Škole.</w:t>
      </w:r>
    </w:p>
    <w:p>
      <w:r>
        <w:t xml:space="preserve"> </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Obrazovanje (šifre 091+092+093+094+095+096+097+098)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2.943.583,25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3.294.589,48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111,9</w:t>
            </w:r>
          </w:p>
        </w:tc>
      </w:tr>
    </w:tbl>
    <w:p>
      <w:pPr>
        <w:spacing w:before="0" w:after="0"/>
      </w:pPr>
    </w:p>
    <w:p>
      <w:r>
        <w:t xml:space="preserve">U ovoj koloni su iskazani ukupni rashodi razreda 3 i 4 koji se odnose na poslovanje Škole.</w:t>
      </w:r>
    </w:p>
    <w:p>
      <w:r>
        <w:t xml:space="preserve"> </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Dodatne usluge u obrazovanju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357.464,95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373.202,11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104,4</w:t>
            </w:r>
          </w:p>
        </w:tc>
      </w:tr>
    </w:tbl>
    <w:p>
      <w:pPr>
        <w:spacing w:before="0" w:after="0"/>
      </w:pPr>
    </w:p>
    <w:p>
      <w:r>
        <w:t xml:space="preserve">U ovoj koloni su iskazani rashodi školske prehrane i prehrane produženog boravka čije usluge koriste učenici Škole te rashodi za Školsku shemu voća i povrća te mlijeka i mliječnih proizvoda kao i rashodi za prijevoz učenika u/iz Škole.</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vrijednosti i obujmu imovine (šifre 91511+91512)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237.767,44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bl>
    <w:p>
      <w:pPr>
        <w:spacing w:before="0" w:after="0"/>
      </w:pPr>
    </w:p>
    <w:p>
      <w:r>
        <w:t xml:space="preserve">Povećanje u obujmu imovine knjiženo kroz račun 915 odnosi se na donaciju knjiga za knjižnicu u iznosu 69,44eur.</w:t>
      </w:r>
    </w:p>
    <w:p>
      <w:r>
        <w:t xml:space="preserve">Prema Odluci Ravnateljice, a nastavno na godišnji popis imovine, napravljen je otpis i rashod dotrajalih višegodišnjih udžbenika te neupotrebljive opreme u iznosu 143.349,88eur. </w:t>
      </w:r>
    </w:p>
    <w:p>
      <w:r>
        <w:t xml:space="preserve">Prema Pravilniku o proračunskom računovodstvu i Računskom planu, čl. 121. godišnji ispravak vrijednosti u iznosu od 94.417,56eur je prikazan na analitičkom računu 91511.</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na kraju izvještajnog razdoblja (šifre V001+V002-V004) i (šifre V007+V009)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182.353,98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Podaci iskazani na šifri V006 iznose 182.353,98eur i odnose se na: </w:t>
      </w:r>
    </w:p>
    <w:p>
      <w:pPr>
        <w:pStyle w:val="ListParagraph"/>
        <w:numPr>
          <w:ilvl w:val="0"/>
          <w:numId w:val="2"/>
        </w:numPr>
      </w:pPr>
      <w:r>
        <w:t xml:space="preserve"> Obveze za bolovanje preko 42 dana: 535,01eur</w:t>
      </w:r>
    </w:p>
    <w:p>
      <w:pPr>
        <w:pStyle w:val="ListParagraph"/>
        <w:numPr>
          <w:ilvl w:val="0"/>
          <w:numId w:val="2"/>
        </w:numPr>
      </w:pPr>
      <w:r>
        <w:t xml:space="preserve">Obveze za zaposlene (pomoćnika u nastavi te učiteljica u produženom boravku):  23.362,51eur                     </w:t>
      </w:r>
    </w:p>
    <w:p>
      <w:pPr>
        <w:pStyle w:val="ListParagraph"/>
        <w:numPr>
          <w:ilvl w:val="0"/>
          <w:numId w:val="2"/>
        </w:numPr>
      </w:pPr>
      <w:r>
        <w:t xml:space="preserve">Obveze za materijalne rashode:  154.622,58eur </w:t>
      </w:r>
    </w:p>
    <w:p>
      <w:pPr>
        <w:pStyle w:val="ListParagraph"/>
        <w:numPr>
          <w:ilvl w:val="0"/>
          <w:numId w:val="2"/>
        </w:numPr>
      </w:pPr>
      <w:r>
        <w:t xml:space="preserve">Obveze za naplaćene tuđe prihode (evidencijska aktivnost): 324,66eur</w:t>
      </w:r>
    </w:p>
    <w:p>
      <w:pPr>
        <w:pStyle w:val="ListParagraph"/>
        <w:numPr>
          <w:ilvl w:val="0"/>
          <w:numId w:val="2"/>
        </w:numPr>
      </w:pPr>
      <w:r>
        <w:t xml:space="preserve">Obveze za obračunate ugovore o djelu kriznom timu: 3.509,22eur</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96.013,06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dospjelih obveza na kraju izvještajnog razdoblja je 96.013,06€ i odnosi se na račune koji su poslani u Riznicu na plaćanje sukladno dogovorenim vremenskim intervalima, no isti nisu plaćeni u valuti te su u kašnjenju od 1 do 60 dana te će isti biti podmireni u najkraćem roku, a najkasnije do 31.01.2026.  Najveći udio dospjelih, a neplaćene obveze na dan 31.12.2025. godine nalaze se u obvezama za materijalne rashode i to u iznosu 91.184,39eur. 89,89eur odnosi se na obveze za naknade građanima i kućanstvima, te preostali iznos od 4.738,78eur odnosi se na obveze za nabavu nefinancijske imovine.</w:t>
      </w:r>
    </w:p>
    <w:p>
      <w:r>
        <w:t xml:space="preserve"> </w:t>
      </w:r>
    </w:p>
    <w:p>
      <w:r>
        <w:t xml:space="preserve"> </w:t>
      </w:r>
    </w:p>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Međusobne obveze subjekata općeg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535,01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Međusobne obveze proračunskih korisnika iskazane na šiframa V003 i V005, sukladno uputi UO za financije Grada Velika Gorica  odnose se na obveze za povrat u proračun sredstava koja refundira HZZO. Potraživanja za naknade za bolovanja na teret HZZO-a u 2025. godini iznose 535,01eur.</w:t>
      </w:r>
    </w:p>
    <w:p>
      <w:r>
        <w:t xml:space="preserve"> </w:t>
      </w:r>
    </w:p>
    <w:p/>
    <w:p>
      <w:pPr>
        <w:jc w:val="center"/>
        <w:pStyle w:val="Normal"/>
        <w:spacing w:line="240" w:lineRule="auto"/>
        <w:keepNext/>
      </w:pPr>
      <w:r>
        <w:rPr>
          <w:sz w:val="28"/>
          <w:rFonts w:ascii="Times New Roman" w:hAnsi="Times New Roman"/>
        </w:rPr>
        <w:t xml:space="preserve">Bilješka 36.</w:t>
      </w:r>
    </w:p>
    <w:p>
      <w:pPr>
        <w:jc w:val="both"/>
        <w:pStyle w:val="Normal"/>
        <w:spacing w:line="240" w:lineRule="auto"/>
      </w:pPr>
      <w:r>
        <w:rPr>
          <w:b/>
          <w:sz w:val="24"/>
          <w:rFonts w:ascii="Times New Roman" w:hAnsi="Times New Roman"/>
        </w:rPr>
        <w:t xml:space="preserve">EU izvještaj</w:t>
      </w:r>
    </w:p>
    <w:p>
      <w:r>
        <w:t xml:space="preserve">U odnosu na do sada propisane financijske izvještaje koji sadržajno prate cjelokupno poslovanje nas, kao obveznika proračunskog računovodstva odnosno sve prihode, rashode, primitke i izdatke po prirodnim vrstama te stanja i promjena imovine, obveza i vlastitih izvora, EU izvještaj je koncipiran na način da analitički prati jedan segment poslovanja vezan uz EU tijekove i to prema jedinstvenim oznakama izvora financiranja za EU sredstva. Cilj primjene takvih jedinstvenih oznaka izvora financiranja je praćenje EU tijekova po programima/fondovima od uplate sredstava u državni proračun, zatim prijenosa sredstava iz državnog proračuna korisnicima EU projekata pa sve do utroška sredstava po prirodnoj vrsti troška kod korisnika projekta. </w:t>
      </w:r>
    </w:p>
    <w:p>
      <w:r>
        <w:t xml:space="preserve">U 2025. godini imali smo jedan EU projekat - Shemu školskog voća i povrća te mlijeka i mliječnih prerađevina.</w:t>
      </w:r>
    </w:p>
    <w:p>
      <w:r>
        <w:t xml:space="preserve"> </w:t>
      </w:r>
    </w:p>
    <w:p/>
  </w:body>
</w:document>
</file>

<file path=word/numbering.xml><?xml version="1.0" encoding="utf-8"?>
<w:numbering xmlns:w="http://schemas.openxmlformats.org/wordprocessingml/2006/main">
  <w:abstractNum w:abstractNumId="1">
    <w:multiLevelType w:val="hybridMultilevel"/>
    <w:name w:val="dis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2">
    <w:abstractNumId w:val="1"/>
    <w:lvlOverride w:ilvl="0">
      <w:startOverride w:val="1"/>
    </w:lvlOverride>
  </w:num>
</w:numbering>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 xmlns:w="http://schemas.openxmlformats.org/wordprocessingml/2006/main" w:type="paragraph" w:styleId="ListParagraph">
    <w:name w:val="List Paragraph"/>
    <w:next w:val="List Paragraph"/>
    <w:pPr>
      <w:keepNext w:val="0"/>
      <w:keepLines w:val="0"/>
      <w:spacing w:before="0" w:after="0" w:line="240" w:lineRule="auto"/>
      <w:ind w:start="720" w:end="0" w:firstLine="0"/>
      <w:contextualSpacing/>
    </w:pPr>
  </w:style>
</w:styles>
</file>

<file path=word/_rels/document.xml.rels>&#65279;<?xml version="1.0" encoding="utf-8"?><Relationships xmlns="http://schemas.openxmlformats.org/package/2006/relationships"><Relationship Type="http://schemas.openxmlformats.org/officeDocument/2006/relationships/styles" Target="/word/styles.xml" Id="Rd9370a39ede742b2" /><Relationship Type="http://schemas.openxmlformats.org/officeDocument/2006/relationships/numbering" Target="/word/numbering.xml" Id="Rf820497206fa443f" /></Relationships>
</file>